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0CE1" w14:textId="746A5D89" w:rsidR="00EE7161" w:rsidRPr="0011768E" w:rsidRDefault="00EE7161" w:rsidP="00EE7161">
      <w:pPr>
        <w:shd w:val="clear" w:color="auto" w:fill="F1F1F1"/>
        <w:spacing w:after="180" w:line="240" w:lineRule="auto"/>
        <w:jc w:val="both"/>
        <w:outlineLvl w:val="0"/>
        <w:rPr>
          <w:rFonts w:ascii="Raleway" w:eastAsia="Times New Roman" w:hAnsi="Raleway" w:cs="Open Sans"/>
          <w:color w:val="252525"/>
          <w:kern w:val="36"/>
          <w:sz w:val="20"/>
          <w:szCs w:val="20"/>
          <w:lang w:eastAsia="es-CO"/>
        </w:rPr>
      </w:pPr>
      <w:r w:rsidRPr="0011768E">
        <w:rPr>
          <w:rFonts w:ascii="Raleway" w:eastAsia="Times New Roman" w:hAnsi="Raleway" w:cs="Open Sans"/>
          <w:color w:val="252525"/>
          <w:kern w:val="36"/>
          <w:sz w:val="20"/>
          <w:szCs w:val="20"/>
          <w:lang w:eastAsia="es-CO"/>
        </w:rPr>
        <w:t>https://www.misabogados.com.co/blog/las-25-responsabilidades-tributarias</w:t>
      </w:r>
    </w:p>
    <w:p w14:paraId="61B7B0DD" w14:textId="77777777" w:rsidR="00EE7161" w:rsidRPr="0011768E" w:rsidRDefault="00EE7161" w:rsidP="00EE7161">
      <w:pPr>
        <w:shd w:val="clear" w:color="auto" w:fill="F1F1F1"/>
        <w:spacing w:after="180" w:line="240" w:lineRule="auto"/>
        <w:jc w:val="both"/>
        <w:outlineLvl w:val="0"/>
        <w:rPr>
          <w:rFonts w:ascii="Raleway" w:eastAsia="Times New Roman" w:hAnsi="Raleway" w:cs="Open Sans"/>
          <w:color w:val="252525"/>
          <w:kern w:val="36"/>
          <w:sz w:val="20"/>
          <w:szCs w:val="20"/>
          <w:lang w:eastAsia="es-CO"/>
        </w:rPr>
      </w:pPr>
    </w:p>
    <w:p w14:paraId="33E19859" w14:textId="42160481" w:rsidR="00EE7161" w:rsidRPr="00EE7161" w:rsidRDefault="00EE7161" w:rsidP="00EE7161">
      <w:pPr>
        <w:shd w:val="clear" w:color="auto" w:fill="F1F1F1"/>
        <w:spacing w:after="180" w:line="240" w:lineRule="auto"/>
        <w:jc w:val="both"/>
        <w:outlineLvl w:val="0"/>
        <w:rPr>
          <w:rFonts w:ascii="Raleway" w:eastAsia="Times New Roman" w:hAnsi="Raleway" w:cs="Open Sans"/>
          <w:color w:val="252525"/>
          <w:kern w:val="36"/>
          <w:sz w:val="54"/>
          <w:szCs w:val="54"/>
          <w:lang w:eastAsia="es-CO"/>
        </w:rPr>
      </w:pPr>
      <w:r w:rsidRPr="00EE7161">
        <w:rPr>
          <w:rFonts w:ascii="Raleway" w:eastAsia="Times New Roman" w:hAnsi="Raleway" w:cs="Open Sans"/>
          <w:color w:val="252525"/>
          <w:kern w:val="36"/>
          <w:sz w:val="54"/>
          <w:szCs w:val="54"/>
          <w:lang w:eastAsia="es-CO"/>
        </w:rPr>
        <w:t>Las 25 responsabilidades tributarias</w:t>
      </w:r>
    </w:p>
    <w:p w14:paraId="709E6BD7" w14:textId="216F4C5C" w:rsidR="00EE7161" w:rsidRPr="00EE7161" w:rsidRDefault="00EE7161" w:rsidP="00EE7161">
      <w:pPr>
        <w:shd w:val="clear" w:color="auto" w:fill="F1F1F1"/>
        <w:spacing w:before="100" w:beforeAutospacing="1" w:after="100" w:afterAutospacing="1" w:line="486" w:lineRule="atLeast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noProof/>
          <w:color w:val="252525"/>
          <w:sz w:val="27"/>
          <w:szCs w:val="27"/>
          <w:lang w:eastAsia="es-CO"/>
        </w:rPr>
        <w:drawing>
          <wp:inline distT="0" distB="0" distL="0" distR="0" wp14:anchorId="6663F28B" wp14:editId="5AFFC682">
            <wp:extent cx="5612130" cy="3113405"/>
            <wp:effectExtent l="0" t="0" r="7620" b="0"/>
            <wp:docPr id="1" name="Imagen 1" descr="responsabilidades-tribut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onsabilidades-tributa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C0B53" w14:textId="0E832CE1" w:rsidR="00EE7161" w:rsidRPr="00EE7161" w:rsidRDefault="00EE7161" w:rsidP="00EE7161">
      <w:pPr>
        <w:shd w:val="clear" w:color="auto" w:fill="F1F1F1"/>
        <w:spacing w:before="100" w:beforeAutospacing="1" w:after="100" w:afterAutospacing="1" w:line="486" w:lineRule="atLeast"/>
        <w:jc w:val="both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Cuando un contribuyente, sea persona natural o jurídica, diligencia su Rut, se le asignan una serie de responsabilidades u obligaciones tributarias, que varían según el tipo de contribuyente y el tipo de actividades que desarrolla cada uno</w:t>
      </w:r>
      <w:r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.</w:t>
      </w:r>
    </w:p>
    <w:p w14:paraId="2464937B" w14:textId="77777777" w:rsidR="00EE7161" w:rsidRPr="00EE7161" w:rsidRDefault="00EE7161" w:rsidP="00EE7161">
      <w:pPr>
        <w:shd w:val="clear" w:color="auto" w:fill="F1F1F1"/>
        <w:spacing w:after="180" w:line="240" w:lineRule="auto"/>
        <w:outlineLvl w:val="1"/>
        <w:rPr>
          <w:rFonts w:ascii="Raleway" w:eastAsia="Times New Roman" w:hAnsi="Raleway" w:cs="Times New Roman"/>
          <w:color w:val="1E90BF"/>
          <w:sz w:val="36"/>
          <w:szCs w:val="36"/>
          <w:lang w:eastAsia="es-CO"/>
        </w:rPr>
      </w:pPr>
      <w:r w:rsidRPr="00EE7161">
        <w:rPr>
          <w:rFonts w:ascii="Raleway" w:eastAsia="Times New Roman" w:hAnsi="Raleway" w:cs="Open Sans"/>
          <w:color w:val="1E90BF"/>
          <w:sz w:val="36"/>
          <w:szCs w:val="36"/>
          <w:lang w:eastAsia="es-CO"/>
        </w:rPr>
        <w:t>¿Que son las responsabilidades tributarias?</w:t>
      </w:r>
    </w:p>
    <w:p w14:paraId="417AA927" w14:textId="595D633E" w:rsidR="00EE7161" w:rsidRDefault="00EE7161" w:rsidP="00EE7161">
      <w:pPr>
        <w:shd w:val="clear" w:color="auto" w:fill="F1F1F1"/>
        <w:spacing w:before="100" w:beforeAutospacing="1" w:after="100" w:afterAutospacing="1" w:line="486" w:lineRule="atLeast"/>
        <w:jc w:val="both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Son las distintas</w:t>
      </w:r>
      <w:r w:rsidRPr="00EE7161">
        <w:rPr>
          <w:rFonts w:ascii="Open Sans" w:eastAsia="Times New Roman" w:hAnsi="Open Sans" w:cs="Open Sans"/>
          <w:b/>
          <w:bCs/>
          <w:color w:val="252525"/>
          <w:sz w:val="27"/>
          <w:szCs w:val="27"/>
          <w:lang w:eastAsia="es-CO"/>
        </w:rPr>
        <w:t> obligaciones tributarias</w:t>
      </w: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, sustanciales (pago de impuestos) y fórmales (declaraciones, presentación de información, inscripción, y actualización en el registro único tributario, entre otras) que se originan por el hecho económico en cabeza de una persona natural o jurídica.</w:t>
      </w:r>
    </w:p>
    <w:p w14:paraId="6EB52181" w14:textId="35D345DA" w:rsidR="00EE7161" w:rsidRDefault="00EE7161" w:rsidP="00EE7161">
      <w:pPr>
        <w:shd w:val="clear" w:color="auto" w:fill="F1F1F1"/>
        <w:spacing w:before="100" w:beforeAutospacing="1" w:after="100" w:afterAutospacing="1" w:line="486" w:lineRule="atLeast"/>
        <w:jc w:val="both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</w:p>
    <w:p w14:paraId="052B9CEF" w14:textId="77777777" w:rsidR="00EE7161" w:rsidRPr="00EE7161" w:rsidRDefault="00EE7161" w:rsidP="00EE7161">
      <w:pPr>
        <w:shd w:val="clear" w:color="auto" w:fill="F1F1F1"/>
        <w:spacing w:before="100" w:beforeAutospacing="1" w:after="100" w:afterAutospacing="1" w:line="486" w:lineRule="atLeast"/>
        <w:jc w:val="both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</w:p>
    <w:p w14:paraId="19B82459" w14:textId="77777777" w:rsidR="00EE7161" w:rsidRPr="00EE7161" w:rsidRDefault="00EE7161" w:rsidP="00EE7161">
      <w:pPr>
        <w:shd w:val="clear" w:color="auto" w:fill="F1F1F1"/>
        <w:spacing w:after="180" w:line="240" w:lineRule="auto"/>
        <w:outlineLvl w:val="1"/>
        <w:rPr>
          <w:rFonts w:ascii="Raleway" w:eastAsia="Times New Roman" w:hAnsi="Raleway" w:cs="Open Sans"/>
          <w:color w:val="1E90BF"/>
          <w:sz w:val="36"/>
          <w:szCs w:val="36"/>
          <w:lang w:eastAsia="es-CO"/>
        </w:rPr>
      </w:pPr>
      <w:r w:rsidRPr="00EE7161">
        <w:rPr>
          <w:rFonts w:ascii="Raleway" w:eastAsia="Times New Roman" w:hAnsi="Raleway" w:cs="Open Sans"/>
          <w:color w:val="1E90BF"/>
          <w:sz w:val="36"/>
          <w:szCs w:val="36"/>
          <w:lang w:eastAsia="es-CO"/>
        </w:rPr>
        <w:t>¿Qué pasa si no se paga?</w:t>
      </w:r>
    </w:p>
    <w:p w14:paraId="48572261" w14:textId="77777777" w:rsidR="00EE7161" w:rsidRPr="00EE7161" w:rsidRDefault="00EE7161" w:rsidP="00EE7161">
      <w:pPr>
        <w:shd w:val="clear" w:color="auto" w:fill="F1F1F1"/>
        <w:spacing w:before="100" w:beforeAutospacing="1" w:after="100" w:afterAutospacing="1" w:line="486" w:lineRule="atLeast"/>
        <w:jc w:val="both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El incumplimiento de una </w:t>
      </w:r>
      <w:r w:rsidRPr="00EE7161">
        <w:rPr>
          <w:rFonts w:ascii="Open Sans" w:eastAsia="Times New Roman" w:hAnsi="Open Sans" w:cs="Open Sans"/>
          <w:b/>
          <w:bCs/>
          <w:color w:val="252525"/>
          <w:sz w:val="27"/>
          <w:szCs w:val="27"/>
          <w:lang w:eastAsia="es-CO"/>
        </w:rPr>
        <w:t>responsabilidad tributaria</w:t>
      </w: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 por parte de un contribuyente expresa un comportamiento de falta de solidaridad con el resto de la sociedad, lo que lleva a mostrar  que no es solo la omisión de la obligación tributaria la que se afecta sino también la ausencia de responsabilidad social y por lo tanto se hace acreedor de sanciones o multas ya que su incumplimiento genera un delito tributario</w:t>
      </w:r>
    </w:p>
    <w:p w14:paraId="51CEB7FB" w14:textId="77777777" w:rsidR="00EE7161" w:rsidRPr="00EE7161" w:rsidRDefault="00EE7161" w:rsidP="00EE7161">
      <w:pPr>
        <w:shd w:val="clear" w:color="auto" w:fill="F1F1F1"/>
        <w:spacing w:after="180" w:line="240" w:lineRule="auto"/>
        <w:outlineLvl w:val="1"/>
        <w:rPr>
          <w:rFonts w:ascii="Raleway" w:eastAsia="Times New Roman" w:hAnsi="Raleway" w:cs="Open Sans"/>
          <w:color w:val="1E90BF"/>
          <w:sz w:val="36"/>
          <w:szCs w:val="36"/>
          <w:lang w:eastAsia="es-CO"/>
        </w:rPr>
      </w:pPr>
      <w:r w:rsidRPr="00EE7161">
        <w:rPr>
          <w:rFonts w:ascii="Raleway" w:eastAsia="Times New Roman" w:hAnsi="Raleway" w:cs="Open Sans"/>
          <w:color w:val="1E90BF"/>
          <w:sz w:val="36"/>
          <w:szCs w:val="36"/>
          <w:lang w:eastAsia="es-CO"/>
        </w:rPr>
        <w:t>¿Cuáles son las responsabilidades tributarias?</w:t>
      </w:r>
    </w:p>
    <w:p w14:paraId="027502BC" w14:textId="77777777" w:rsidR="00EE7161" w:rsidRPr="00EE7161" w:rsidRDefault="00EE7161" w:rsidP="00EE7161">
      <w:pPr>
        <w:shd w:val="clear" w:color="auto" w:fill="F1F1F1"/>
        <w:spacing w:before="100" w:beforeAutospacing="1" w:after="100" w:afterAutospacing="1" w:line="486" w:lineRule="atLeast"/>
        <w:jc w:val="both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Las </w:t>
      </w:r>
      <w:r w:rsidRPr="00EE7161">
        <w:rPr>
          <w:rFonts w:ascii="Open Sans" w:eastAsia="Times New Roman" w:hAnsi="Open Sans" w:cs="Open Sans"/>
          <w:b/>
          <w:bCs/>
          <w:color w:val="252525"/>
          <w:sz w:val="27"/>
          <w:szCs w:val="27"/>
          <w:lang w:eastAsia="es-CO"/>
        </w:rPr>
        <w:t>responsabilidades tributarias</w:t>
      </w: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 están identificadas con un código, el cual figura en la Rut de cada persona, permitiendo a quien lo consulte, conocer las responsabilidades tributarias que le corresponden y a su vez es algo muy necesario cuando se hace el correspondiente pago. De esta forma estas obligaciones son:</w:t>
      </w:r>
    </w:p>
    <w:p w14:paraId="5DF6A503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Aporte especial para administración de justicia</w:t>
      </w:r>
    </w:p>
    <w:p w14:paraId="5A253F34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Gravamen a los movimientos financieros</w:t>
      </w:r>
    </w:p>
    <w:p w14:paraId="61F699EF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Impuesto al patrimonio</w:t>
      </w:r>
    </w:p>
    <w:p w14:paraId="4C7C632E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Impuesto de renta y complementario régimen especial</w:t>
      </w:r>
    </w:p>
    <w:p w14:paraId="5AF5B121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Impuesto de renta y complementario régimen ordinario</w:t>
      </w:r>
    </w:p>
    <w:p w14:paraId="1E991B87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Ingresos y patrimonio</w:t>
      </w:r>
    </w:p>
    <w:p w14:paraId="72C1CA07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Retención en la fuente a título de renta</w:t>
      </w:r>
    </w:p>
    <w:p w14:paraId="0F707365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Retención a timbre nacional</w:t>
      </w:r>
    </w:p>
    <w:p w14:paraId="68079F1D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Retención en la fuente en el impuesto sobre las ventas</w:t>
      </w:r>
    </w:p>
    <w:p w14:paraId="077008EF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Usuario aduanero</w:t>
      </w:r>
    </w:p>
    <w:p w14:paraId="701373CA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Ventas de régimen común</w:t>
      </w:r>
    </w:p>
    <w:p w14:paraId="354E0AB7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Ventas de régimen simplificado</w:t>
      </w:r>
    </w:p>
    <w:p w14:paraId="0DFDCB8D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Gran contribuyente</w:t>
      </w:r>
    </w:p>
    <w:p w14:paraId="5C76951F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Informante de exógena</w:t>
      </w:r>
    </w:p>
    <w:p w14:paraId="4C43A93E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Autor retenedor</w:t>
      </w:r>
    </w:p>
    <w:p w14:paraId="5AC08757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Obligación a facturar por ingresos bienes o servicios excluidos</w:t>
      </w:r>
    </w:p>
    <w:p w14:paraId="2714E9F3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Profesionales de compra y venta de divisas</w:t>
      </w:r>
    </w:p>
    <w:p w14:paraId="685FE4D8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Precios de transferencia</w:t>
      </w:r>
    </w:p>
    <w:p w14:paraId="41DB1CF1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Productor de bienes o servicios exentos</w:t>
      </w:r>
    </w:p>
    <w:p w14:paraId="0DF227AA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Obtención NIT</w:t>
      </w:r>
    </w:p>
    <w:p w14:paraId="1DE85DA1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Declarar ingreso o salida del país de divisas o moneda legal</w:t>
      </w:r>
    </w:p>
    <w:p w14:paraId="765CBE27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Obligación de declarar a nombre de terceros</w:t>
      </w:r>
    </w:p>
    <w:p w14:paraId="5EF7E81C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Agente de retención en ventas</w:t>
      </w:r>
    </w:p>
    <w:p w14:paraId="67906372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Declaración consolidada de precios de transferencia</w:t>
      </w:r>
    </w:p>
    <w:p w14:paraId="2943EE1F" w14:textId="77777777" w:rsidR="00EE7161" w:rsidRPr="00EE7161" w:rsidRDefault="00EE7161" w:rsidP="00EE716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</w:pPr>
      <w:r w:rsidRPr="00EE7161">
        <w:rPr>
          <w:rFonts w:ascii="Open Sans" w:eastAsia="Times New Roman" w:hAnsi="Open Sans" w:cs="Open Sans"/>
          <w:color w:val="252525"/>
          <w:sz w:val="27"/>
          <w:szCs w:val="27"/>
          <w:lang w:eastAsia="es-CO"/>
        </w:rPr>
        <w:t>Declaración individual de precios de transferencia</w:t>
      </w:r>
    </w:p>
    <w:p w14:paraId="77A8F238" w14:textId="77777777" w:rsidR="00EE7161" w:rsidRDefault="00EE7161" w:rsidP="00EE7161">
      <w:pPr>
        <w:jc w:val="both"/>
      </w:pPr>
    </w:p>
    <w:sectPr w:rsidR="00EE7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A2B"/>
    <w:multiLevelType w:val="multilevel"/>
    <w:tmpl w:val="6B7E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1"/>
    <w:rsid w:val="0011768E"/>
    <w:rsid w:val="00E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0FDA"/>
  <w15:chartTrackingRefBased/>
  <w15:docId w15:val="{AC63CE0B-CE84-4E05-8CBF-6CC8F11B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E7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EE7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716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EE716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hscoswrapper">
    <w:name w:val="hs_cos_wrapper"/>
    <w:basedOn w:val="Fuentedeprrafopredeter"/>
    <w:rsid w:val="00EE7161"/>
  </w:style>
  <w:style w:type="paragraph" w:styleId="NormalWeb">
    <w:name w:val="Normal (Web)"/>
    <w:basedOn w:val="Normal"/>
    <w:uiPriority w:val="99"/>
    <w:semiHidden/>
    <w:unhideWhenUsed/>
    <w:rsid w:val="00EE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E716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E7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2D34F5F0F9EC4D85E09D743FF88E8F" ma:contentTypeVersion="0" ma:contentTypeDescription="Crear nuevo documento." ma:contentTypeScope="" ma:versionID="3dfa88dea811e5463fe0dbf8ab72c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CAAA3-DBC5-4791-9C50-479140F3AF74}"/>
</file>

<file path=customXml/itemProps2.xml><?xml version="1.0" encoding="utf-8"?>
<ds:datastoreItem xmlns:ds="http://schemas.openxmlformats.org/officeDocument/2006/customXml" ds:itemID="{2CE37268-AEFD-4178-B89F-5396FF0DDD32}"/>
</file>

<file path=customXml/itemProps3.xml><?xml version="1.0" encoding="utf-8"?>
<ds:datastoreItem xmlns:ds="http://schemas.openxmlformats.org/officeDocument/2006/customXml" ds:itemID="{E8009790-D542-4774-A0CF-A4448E312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engygas 05</dc:creator>
  <cp:keywords/>
  <dc:description/>
  <cp:lastModifiedBy>engygas 05</cp:lastModifiedBy>
  <cp:revision>2</cp:revision>
  <dcterms:created xsi:type="dcterms:W3CDTF">2021-09-16T21:48:00Z</dcterms:created>
  <dcterms:modified xsi:type="dcterms:W3CDTF">2021-09-16T21:53:00Z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0x010100DF2D34F5F0F9EC4D85E09D743FF88E8F</vt:lpwstr>
  </property>
</Properties>
</file>